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4494A37B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BF6574">
        <w:t>2</w:t>
      </w:r>
      <w:r w:rsidR="007C23F3">
        <w:t>bis</w:t>
      </w:r>
      <w:r w:rsidR="00F72F4F">
        <w:tab/>
      </w:r>
      <w:r w:rsidR="00F72F4F">
        <w:tab/>
      </w:r>
      <w:r w:rsidR="00A10E8A" w:rsidRPr="00A10E8A">
        <w:t>R4-2415334</w:t>
      </w:r>
    </w:p>
    <w:p w14:paraId="4A8CACC6" w14:textId="3500E4BB" w:rsidR="00F72F4F" w:rsidRPr="00FD166F" w:rsidRDefault="007C23F3" w:rsidP="00F72F4F">
      <w:pPr>
        <w:pStyle w:val="CH"/>
        <w:tabs>
          <w:tab w:val="clear" w:pos="7920"/>
        </w:tabs>
        <w:rPr>
          <w:b w:val="0"/>
        </w:rPr>
      </w:pPr>
      <w:r>
        <w:t>Hefei, China, October</w:t>
      </w:r>
      <w:r w:rsidRPr="00A14D3F">
        <w:t xml:space="preserve"> </w:t>
      </w:r>
      <w:r>
        <w:t>14</w:t>
      </w:r>
      <w:r>
        <w:rPr>
          <w:vertAlign w:val="superscript"/>
        </w:rPr>
        <w:t>th</w:t>
      </w:r>
      <w:r w:rsidRPr="00A14D3F">
        <w:t xml:space="preserve"> – </w:t>
      </w:r>
      <w:r>
        <w:t>18</w:t>
      </w:r>
      <w:r>
        <w:rPr>
          <w:vertAlign w:val="superscript"/>
        </w:rPr>
        <w:t>th</w:t>
      </w:r>
      <w:r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307E14E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3C4E4E">
        <w:t>6</w:t>
      </w:r>
      <w:r w:rsidR="007101FA">
        <w:t>.</w:t>
      </w:r>
      <w:r w:rsidR="003C4E4E">
        <w:t>26.2.2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58C43E45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3C4E4E" w:rsidRPr="003C4E4E">
        <w:t>On NTN simultaneous operation with GNSS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0B3C7017" w:rsidR="00104BC6" w:rsidRDefault="00104BC6" w:rsidP="00D309CC">
      <w:pPr>
        <w:pStyle w:val="CH"/>
      </w:pPr>
      <w:r>
        <w:t>WI/SI:</w:t>
      </w:r>
      <w:r>
        <w:tab/>
      </w:r>
      <w:r w:rsidR="0089175B" w:rsidRPr="0089175B">
        <w:t>NR_NTN_Ph3-Core</w:t>
      </w:r>
    </w:p>
    <w:p w14:paraId="6C6D1281" w14:textId="3A854938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3C4E4E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795DFF92" w14:textId="4B3E1CB0" w:rsidR="00B4719C" w:rsidRDefault="003529D5" w:rsidP="003950AD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3529D5">
        <w:rPr>
          <w:rFonts w:ascii="Arial" w:hAnsi="Arial" w:cs="Arial"/>
          <w:sz w:val="20"/>
          <w:szCs w:val="20"/>
          <w:lang w:val="en-GB"/>
        </w:rPr>
        <w:t>Considering that the support of RedCap devices operating in FR1 band NR-NTN networks can offer enhanced service capabilities (wideband/broadband) compared to IoT-NTN while ensuring low-complexity devices and the global coverage would clearly benefit RedCap devices, an objective on the “support of Rel-17 RedCap and Rel-18 eRedCap UEs with NR NTN operating in FR1-NTN bands” is included in the Rel-19 new WID on “Non-Terrestrial Networks (NTN) for NR Phase 3” led by RAN2 [1].</w:t>
      </w:r>
      <w:r>
        <w:rPr>
          <w:rFonts w:ascii="Arial" w:hAnsi="Arial" w:cs="Arial"/>
          <w:sz w:val="20"/>
          <w:szCs w:val="20"/>
          <w:lang w:val="en-GB"/>
        </w:rPr>
        <w:t xml:space="preserve"> Under this objective, there is a precondition that </w:t>
      </w:r>
      <w:r w:rsidRPr="003529D5">
        <w:rPr>
          <w:rFonts w:ascii="Arial" w:hAnsi="Arial" w:cs="Arial"/>
          <w:sz w:val="20"/>
          <w:szCs w:val="20"/>
          <w:lang w:val="en-GB"/>
        </w:rPr>
        <w:t>GNSS (Global Navigation Satellite Systems) capabilities and simultaneous GNSS and NR-NTN operation is supported in RedCap/eRedCap UE.</w:t>
      </w:r>
      <w:r>
        <w:rPr>
          <w:rFonts w:ascii="Arial" w:hAnsi="Arial" w:cs="Arial"/>
          <w:sz w:val="20"/>
          <w:szCs w:val="20"/>
          <w:lang w:val="en-GB"/>
        </w:rPr>
        <w:t xml:space="preserve"> However, the </w:t>
      </w:r>
      <w:r w:rsidRPr="003529D5">
        <w:rPr>
          <w:rFonts w:ascii="Arial" w:hAnsi="Arial" w:cs="Arial"/>
          <w:sz w:val="20"/>
          <w:szCs w:val="20"/>
          <w:lang w:val="en-GB"/>
        </w:rPr>
        <w:t>simultaneous GNSS and NR-NTN operation</w:t>
      </w:r>
      <w:r>
        <w:rPr>
          <w:rFonts w:ascii="Arial" w:hAnsi="Arial" w:cs="Arial"/>
          <w:sz w:val="20"/>
          <w:szCs w:val="20"/>
          <w:lang w:val="en-GB"/>
        </w:rPr>
        <w:t xml:space="preserve"> aspect has not been formally discussed in the past few RAN4 meeting</w:t>
      </w:r>
      <w:r w:rsidR="003950AD">
        <w:rPr>
          <w:rFonts w:ascii="Arial" w:hAnsi="Arial" w:cs="Arial"/>
          <w:sz w:val="20"/>
          <w:szCs w:val="20"/>
          <w:lang w:val="en-GB"/>
        </w:rPr>
        <w:t>s. In last RAN4 meeting, the following considerations were captured in the approved “</w:t>
      </w:r>
      <w:r w:rsidR="003950AD" w:rsidRPr="003950AD">
        <w:rPr>
          <w:rFonts w:ascii="Arial" w:hAnsi="Arial" w:cs="Arial"/>
          <w:sz w:val="20"/>
          <w:szCs w:val="20"/>
        </w:rPr>
        <w:t>Way Forward for NR_NTN_Ph3_UE_RF</w:t>
      </w:r>
      <w:r w:rsidR="003950AD">
        <w:rPr>
          <w:rFonts w:ascii="Arial" w:hAnsi="Arial" w:cs="Arial"/>
          <w:sz w:val="20"/>
          <w:szCs w:val="20"/>
        </w:rPr>
        <w:t>” [2] to facilitate the study of NR NTN UE simultaneous operation with GNSS.</w:t>
      </w:r>
    </w:p>
    <w:p w14:paraId="06E92CC7" w14:textId="2CFCB0BD" w:rsidR="008E7986" w:rsidRDefault="003950AD" w:rsidP="003950AD">
      <w:pPr>
        <w:pStyle w:val="ListParagraph"/>
        <w:numPr>
          <w:ilvl w:val="0"/>
          <w:numId w:val="31"/>
        </w:numPr>
        <w:spacing w:after="120"/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3950AD">
        <w:rPr>
          <w:rFonts w:ascii="Arial" w:hAnsi="Arial" w:cs="Arial"/>
          <w:sz w:val="20"/>
          <w:szCs w:val="20"/>
        </w:rPr>
        <w:t>Operating bands with UL close to GNSS frequencies (n254, n255)</w:t>
      </w:r>
    </w:p>
    <w:p w14:paraId="3027B78A" w14:textId="3118F7B5" w:rsidR="00B4719C" w:rsidRDefault="003950AD" w:rsidP="003950AD">
      <w:pPr>
        <w:pStyle w:val="ListParagraph"/>
        <w:numPr>
          <w:ilvl w:val="0"/>
          <w:numId w:val="31"/>
        </w:numPr>
        <w:spacing w:after="120"/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3950AD">
        <w:rPr>
          <w:rFonts w:ascii="Arial" w:hAnsi="Arial" w:cs="Arial"/>
          <w:sz w:val="20"/>
          <w:szCs w:val="20"/>
        </w:rPr>
        <w:t>Emissions on GNSS frequencies</w:t>
      </w:r>
    </w:p>
    <w:p w14:paraId="2B6147DA" w14:textId="70BE7BBC" w:rsidR="003950AD" w:rsidRDefault="003950AD" w:rsidP="003950AD">
      <w:pPr>
        <w:pStyle w:val="ListParagraph"/>
        <w:numPr>
          <w:ilvl w:val="0"/>
          <w:numId w:val="31"/>
        </w:numPr>
        <w:spacing w:after="120"/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3950AD">
        <w:rPr>
          <w:rFonts w:ascii="Arial" w:hAnsi="Arial" w:cs="Arial"/>
          <w:sz w:val="20"/>
          <w:szCs w:val="20"/>
        </w:rPr>
        <w:t>Whether transmission gaps enabling successful GNSS reception are present.</w:t>
      </w:r>
    </w:p>
    <w:p w14:paraId="7FC43373" w14:textId="157B217C" w:rsidR="003950AD" w:rsidRDefault="003950AD" w:rsidP="003950AD">
      <w:pPr>
        <w:pStyle w:val="ListParagraph"/>
        <w:numPr>
          <w:ilvl w:val="0"/>
          <w:numId w:val="31"/>
        </w:numPr>
        <w:spacing w:after="120"/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3950AD">
        <w:rPr>
          <w:rFonts w:ascii="Arial" w:hAnsi="Arial" w:cs="Arial"/>
          <w:sz w:val="20"/>
          <w:szCs w:val="20"/>
        </w:rPr>
        <w:t>Potential impact on field performance</w:t>
      </w:r>
    </w:p>
    <w:p w14:paraId="03D76EA5" w14:textId="5AD0FC52" w:rsidR="003950AD" w:rsidRPr="00B4719C" w:rsidRDefault="003950AD" w:rsidP="00F149AF">
      <w:pPr>
        <w:pStyle w:val="ListParagraph"/>
        <w:numPr>
          <w:ilvl w:val="0"/>
          <w:numId w:val="31"/>
        </w:numPr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3950AD">
        <w:rPr>
          <w:rFonts w:ascii="Arial" w:hAnsi="Arial" w:cs="Arial"/>
          <w:sz w:val="20"/>
          <w:szCs w:val="20"/>
        </w:rPr>
        <w:t>Potential need for specification updates, e.g. frequency error</w:t>
      </w:r>
    </w:p>
    <w:p w14:paraId="610F5A2E" w14:textId="77777777" w:rsidR="00B4719C" w:rsidRDefault="00B4719C" w:rsidP="00B4719C">
      <w:pPr>
        <w:jc w:val="both"/>
        <w:rPr>
          <w:rFonts w:ascii="Arial" w:hAnsi="Arial" w:cs="Arial"/>
          <w:sz w:val="20"/>
          <w:szCs w:val="20"/>
        </w:rPr>
      </w:pPr>
    </w:p>
    <w:p w14:paraId="1F1EBA9E" w14:textId="575C350E" w:rsidR="00B4719C" w:rsidRPr="00B4719C" w:rsidRDefault="00B4719C" w:rsidP="00B4719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</w:t>
      </w:r>
      <w:r w:rsidR="003950AD">
        <w:rPr>
          <w:rFonts w:ascii="Arial" w:hAnsi="Arial" w:cs="Arial"/>
          <w:sz w:val="20"/>
          <w:szCs w:val="20"/>
        </w:rPr>
        <w:t xml:space="preserve">we provide our preliminary RF analysis on the worst-case </w:t>
      </w:r>
      <w:r w:rsidR="00F149AF">
        <w:rPr>
          <w:rFonts w:ascii="Arial" w:hAnsi="Arial" w:cs="Arial"/>
          <w:sz w:val="20"/>
          <w:szCs w:val="20"/>
        </w:rPr>
        <w:t xml:space="preserve">in-device </w:t>
      </w:r>
      <w:r w:rsidR="003950AD">
        <w:rPr>
          <w:rFonts w:ascii="Arial" w:hAnsi="Arial" w:cs="Arial"/>
          <w:sz w:val="20"/>
          <w:szCs w:val="20"/>
        </w:rPr>
        <w:t xml:space="preserve">coexistence scenario between </w:t>
      </w:r>
      <w:r w:rsidR="00F149AF">
        <w:rPr>
          <w:rFonts w:ascii="Arial" w:hAnsi="Arial" w:cs="Arial"/>
          <w:sz w:val="20"/>
          <w:szCs w:val="20"/>
        </w:rPr>
        <w:t>NR NTN L-band UL and GPS band and conclude that it would not be feasible to support simultaneous Rx/Tx between GPS receiver and L</w:t>
      </w:r>
      <w:r w:rsidR="00C03BF3">
        <w:rPr>
          <w:rFonts w:ascii="Arial" w:hAnsi="Arial" w:cs="Arial"/>
          <w:sz w:val="20"/>
          <w:szCs w:val="20"/>
        </w:rPr>
        <w:t>-</w:t>
      </w:r>
      <w:r w:rsidR="00F149AF">
        <w:rPr>
          <w:rFonts w:ascii="Arial" w:hAnsi="Arial" w:cs="Arial"/>
          <w:sz w:val="20"/>
          <w:szCs w:val="20"/>
        </w:rPr>
        <w:t xml:space="preserve">band UL transmission at maximum output power </w:t>
      </w:r>
      <w:r w:rsidR="00F149AF" w:rsidRPr="00F149AF">
        <w:rPr>
          <w:rFonts w:ascii="Arial" w:hAnsi="Arial" w:cs="Arial"/>
          <w:sz w:val="20"/>
          <w:szCs w:val="20"/>
        </w:rPr>
        <w:t>based on the typical</w:t>
      </w:r>
      <w:r w:rsidR="00F149AF">
        <w:rPr>
          <w:rFonts w:ascii="Arial" w:hAnsi="Arial" w:cs="Arial"/>
          <w:sz w:val="20"/>
          <w:szCs w:val="20"/>
        </w:rPr>
        <w:t xml:space="preserve"> RF </w:t>
      </w:r>
      <w:r w:rsidR="00F149AF" w:rsidRPr="00F149AF">
        <w:rPr>
          <w:rFonts w:ascii="Arial" w:hAnsi="Arial" w:cs="Arial"/>
          <w:sz w:val="20"/>
          <w:szCs w:val="20"/>
        </w:rPr>
        <w:t>front-end HW implementation</w:t>
      </w:r>
      <w:r w:rsidR="00F149AF">
        <w:rPr>
          <w:rFonts w:ascii="Arial" w:hAnsi="Arial" w:cs="Arial"/>
          <w:sz w:val="20"/>
          <w:szCs w:val="20"/>
        </w:rPr>
        <w:t xml:space="preserve"> for handheld or RedCap UE. </w:t>
      </w:r>
      <w:r w:rsidR="003950AD">
        <w:rPr>
          <w:rFonts w:ascii="Arial" w:hAnsi="Arial" w:cs="Arial"/>
          <w:sz w:val="20"/>
          <w:szCs w:val="20"/>
        </w:rPr>
        <w:t xml:space="preserve">  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05A8D308" w14:textId="77777777" w:rsidR="00B86323" w:rsidRDefault="00263708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Our preliminary RF analysis was based on the worst-case in-device coexistence scenario between NR NTN </w:t>
      </w:r>
      <w:r w:rsidR="00C03BF3">
        <w:rPr>
          <w:rFonts w:ascii="Arial" w:hAnsi="Arial" w:cs="Arial"/>
          <w:sz w:val="20"/>
          <w:szCs w:val="20"/>
        </w:rPr>
        <w:t xml:space="preserve">L-band UL, or specifically n254 UL, and GPS band centered at 1575.42 MHz </w:t>
      </w:r>
      <w:r w:rsidR="00B86323">
        <w:rPr>
          <w:rFonts w:ascii="Arial" w:hAnsi="Arial" w:cs="Arial"/>
          <w:sz w:val="20"/>
          <w:szCs w:val="20"/>
        </w:rPr>
        <w:t>where the spectrum allocations are shown in Figure 2-1.</w:t>
      </w:r>
    </w:p>
    <w:p w14:paraId="219D55F6" w14:textId="77777777" w:rsidR="00932B83" w:rsidRDefault="00932B83" w:rsidP="00932B83">
      <w:pPr>
        <w:jc w:val="both"/>
        <w:rPr>
          <w:rFonts w:ascii="Arial" w:hAnsi="Arial" w:cs="Arial"/>
          <w:sz w:val="20"/>
          <w:szCs w:val="20"/>
        </w:rPr>
      </w:pPr>
    </w:p>
    <w:p w14:paraId="7EFA58CA" w14:textId="70D7A34F" w:rsidR="00B86323" w:rsidRDefault="00932B83" w:rsidP="00B448F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BA10330" wp14:editId="13040BF2">
            <wp:extent cx="4420652" cy="728598"/>
            <wp:effectExtent l="0" t="0" r="0" b="0"/>
            <wp:docPr id="250537893" name="Picture 1" descr="A black number and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537893" name="Picture 1" descr="A black number and a white background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5192" cy="74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CE938" w14:textId="77777777" w:rsidR="00B448F7" w:rsidRDefault="00B448F7" w:rsidP="00B448F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7A28C8" w14:textId="7EECBD27" w:rsidR="00C17C12" w:rsidRDefault="00B448F7" w:rsidP="00B448F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2-1 </w:t>
      </w:r>
      <w:r w:rsidR="00B4668E">
        <w:rPr>
          <w:rFonts w:ascii="Arial" w:hAnsi="Arial" w:cs="Arial"/>
          <w:b/>
          <w:bCs/>
          <w:sz w:val="20"/>
          <w:szCs w:val="20"/>
        </w:rPr>
        <w:t>Spectrum allocations for GPS L1 band and NR NTN band n254 UL range</w:t>
      </w:r>
    </w:p>
    <w:p w14:paraId="6D355649" w14:textId="77777777" w:rsidR="00C50BA3" w:rsidRDefault="00C50BA3" w:rsidP="00C50BA3">
      <w:pPr>
        <w:jc w:val="both"/>
        <w:rPr>
          <w:rFonts w:ascii="Arial" w:hAnsi="Arial" w:cs="Arial"/>
          <w:sz w:val="20"/>
          <w:szCs w:val="20"/>
        </w:rPr>
      </w:pPr>
    </w:p>
    <w:p w14:paraId="2C7A5A54" w14:textId="4E5B00F9" w:rsidR="00B24B83" w:rsidRDefault="00B448F7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Table 2-1 summarizes the</w:t>
      </w:r>
      <w:r w:rsidR="00717845">
        <w:rPr>
          <w:rFonts w:ascii="Arial" w:hAnsi="Arial" w:cs="Arial"/>
          <w:sz w:val="20"/>
          <w:szCs w:val="20"/>
        </w:rPr>
        <w:t xml:space="preserve"> related RF </w:t>
      </w:r>
      <w:r>
        <w:rPr>
          <w:rFonts w:ascii="Arial" w:hAnsi="Arial" w:cs="Arial"/>
          <w:sz w:val="20"/>
          <w:szCs w:val="20"/>
        </w:rPr>
        <w:t>parameters for the analysis</w:t>
      </w:r>
      <w:r w:rsidR="00B4668E">
        <w:rPr>
          <w:rFonts w:ascii="Arial" w:hAnsi="Arial" w:cs="Arial"/>
          <w:sz w:val="20"/>
          <w:szCs w:val="20"/>
        </w:rPr>
        <w:t>. F</w:t>
      </w:r>
      <w:r w:rsidR="00B4668E">
        <w:rPr>
          <w:rFonts w:ascii="Arial" w:hAnsi="Arial" w:cs="Arial"/>
          <w:sz w:val="20"/>
          <w:szCs w:val="20"/>
        </w:rPr>
        <w:t>rom NR NTN link budget perspective</w:t>
      </w:r>
      <w:r w:rsidR="00B4668E">
        <w:rPr>
          <w:rFonts w:ascii="Arial" w:hAnsi="Arial" w:cs="Arial"/>
          <w:sz w:val="20"/>
          <w:szCs w:val="20"/>
        </w:rPr>
        <w:t xml:space="preserve">, </w:t>
      </w:r>
      <w:r w:rsidR="00717845">
        <w:rPr>
          <w:rFonts w:ascii="Arial" w:hAnsi="Arial" w:cs="Arial"/>
          <w:sz w:val="20"/>
          <w:szCs w:val="20"/>
        </w:rPr>
        <w:t xml:space="preserve">band </w:t>
      </w:r>
      <w:r>
        <w:rPr>
          <w:rFonts w:ascii="Arial" w:hAnsi="Arial" w:cs="Arial"/>
          <w:sz w:val="20"/>
          <w:szCs w:val="20"/>
        </w:rPr>
        <w:t xml:space="preserve">n254 UL is </w:t>
      </w:r>
      <w:r w:rsidR="00717845">
        <w:rPr>
          <w:rFonts w:ascii="Arial" w:hAnsi="Arial" w:cs="Arial"/>
          <w:sz w:val="20"/>
          <w:szCs w:val="20"/>
        </w:rPr>
        <w:t>assumed</w:t>
      </w:r>
      <w:r>
        <w:rPr>
          <w:rFonts w:ascii="Arial" w:hAnsi="Arial" w:cs="Arial"/>
          <w:sz w:val="20"/>
          <w:szCs w:val="20"/>
        </w:rPr>
        <w:t xml:space="preserve"> to always transmit at maximum output power at 23dBm (PC3) during the operation</w:t>
      </w:r>
      <w:r w:rsidR="00B4668E">
        <w:rPr>
          <w:rFonts w:ascii="Arial" w:hAnsi="Arial" w:cs="Arial"/>
          <w:sz w:val="20"/>
          <w:szCs w:val="20"/>
        </w:rPr>
        <w:t>.</w:t>
      </w:r>
      <w:r w:rsidR="00717845">
        <w:rPr>
          <w:rFonts w:ascii="Arial" w:hAnsi="Arial" w:cs="Arial"/>
          <w:sz w:val="20"/>
          <w:szCs w:val="20"/>
        </w:rPr>
        <w:t xml:space="preserve"> </w:t>
      </w:r>
      <w:r w:rsidR="00B4668E">
        <w:rPr>
          <w:rFonts w:ascii="Arial" w:hAnsi="Arial" w:cs="Arial"/>
          <w:sz w:val="20"/>
          <w:szCs w:val="20"/>
        </w:rPr>
        <w:t xml:space="preserve">The </w:t>
      </w:r>
      <w:r w:rsidR="00717845">
        <w:rPr>
          <w:rFonts w:ascii="Arial" w:hAnsi="Arial" w:cs="Arial"/>
          <w:sz w:val="20"/>
          <w:szCs w:val="20"/>
        </w:rPr>
        <w:t xml:space="preserve">GPS filter to band n254 UL rejection is extracted from the filter profile as shown in Figure 2-2.  </w:t>
      </w:r>
      <w:r w:rsidR="00FE075F">
        <w:rPr>
          <w:rFonts w:ascii="Arial" w:hAnsi="Arial" w:cs="Arial"/>
          <w:sz w:val="20"/>
          <w:szCs w:val="20"/>
        </w:rPr>
        <w:t xml:space="preserve">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0"/>
        <w:gridCol w:w="1120"/>
        <w:gridCol w:w="900"/>
      </w:tblGrid>
      <w:tr w:rsidR="00B448F7" w:rsidRPr="00FE075F" w14:paraId="27D931E1" w14:textId="6AFA0F1C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5D142190" w14:textId="396754B4" w:rsidR="00B448F7" w:rsidRPr="00FE075F" w:rsidRDefault="00B448F7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075F">
              <w:rPr>
                <w:rFonts w:ascii="Arial" w:hAnsi="Arial" w:cs="Arial"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1120" w:type="dxa"/>
            <w:vAlign w:val="center"/>
          </w:tcPr>
          <w:p w14:paraId="68588AFE" w14:textId="2B732673" w:rsidR="00B448F7" w:rsidRPr="00FE075F" w:rsidRDefault="00B448F7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75F">
              <w:rPr>
                <w:rFonts w:ascii="Arial" w:hAnsi="Arial" w:cs="Arial"/>
                <w:sz w:val="18"/>
                <w:szCs w:val="18"/>
              </w:rPr>
              <w:t>Value</w:t>
            </w:r>
          </w:p>
        </w:tc>
        <w:tc>
          <w:tcPr>
            <w:tcW w:w="900" w:type="dxa"/>
            <w:vAlign w:val="center"/>
          </w:tcPr>
          <w:p w14:paraId="1622A3E1" w14:textId="58B1B11D" w:rsidR="00B448F7" w:rsidRPr="00FE075F" w:rsidRDefault="00B448F7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75F">
              <w:rPr>
                <w:rFonts w:ascii="Arial" w:hAnsi="Arial" w:cs="Arial"/>
                <w:sz w:val="18"/>
                <w:szCs w:val="18"/>
              </w:rPr>
              <w:t>Unit</w:t>
            </w:r>
          </w:p>
        </w:tc>
      </w:tr>
      <w:tr w:rsidR="00B448F7" w:rsidRPr="00FE075F" w14:paraId="0506065D" w14:textId="49F5BF23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525B4507" w14:textId="095E73BA" w:rsidR="00B448F7" w:rsidRPr="00FE075F" w:rsidRDefault="00FE075F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n254 UL power</w:t>
            </w:r>
          </w:p>
        </w:tc>
        <w:tc>
          <w:tcPr>
            <w:tcW w:w="1120" w:type="dxa"/>
            <w:vAlign w:val="center"/>
          </w:tcPr>
          <w:p w14:paraId="1273F18A" w14:textId="642B8A50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0" w:type="dxa"/>
            <w:vAlign w:val="center"/>
          </w:tcPr>
          <w:p w14:paraId="73B277BB" w14:textId="3D986A9F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dBm</w:t>
            </w:r>
          </w:p>
        </w:tc>
      </w:tr>
      <w:tr w:rsidR="00B448F7" w:rsidRPr="00FE075F" w14:paraId="21C814ED" w14:textId="20A82EDB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532EDF59" w14:textId="4DFE8A31" w:rsidR="00B448F7" w:rsidRPr="00FE075F" w:rsidRDefault="00FE075F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GPS signal level</w:t>
            </w:r>
          </w:p>
        </w:tc>
        <w:tc>
          <w:tcPr>
            <w:tcW w:w="1120" w:type="dxa"/>
            <w:vAlign w:val="center"/>
          </w:tcPr>
          <w:p w14:paraId="483B30B3" w14:textId="04D26C0A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-135</w:t>
            </w:r>
          </w:p>
        </w:tc>
        <w:tc>
          <w:tcPr>
            <w:tcW w:w="900" w:type="dxa"/>
            <w:vAlign w:val="center"/>
          </w:tcPr>
          <w:p w14:paraId="6F1A4D04" w14:textId="4447967A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dBm</w:t>
            </w:r>
          </w:p>
        </w:tc>
      </w:tr>
      <w:tr w:rsidR="00B448F7" w:rsidRPr="00FE075F" w14:paraId="2B040672" w14:textId="5F097AE7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13D79008" w14:textId="27011897" w:rsidR="00B448F7" w:rsidRPr="00FE075F" w:rsidRDefault="00FE075F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GPS signal bandwidth</w:t>
            </w:r>
          </w:p>
        </w:tc>
        <w:tc>
          <w:tcPr>
            <w:tcW w:w="1120" w:type="dxa"/>
            <w:vAlign w:val="center"/>
          </w:tcPr>
          <w:p w14:paraId="4FBD44C5" w14:textId="0FFD1C62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vAlign w:val="center"/>
          </w:tcPr>
          <w:p w14:paraId="09BCD1DA" w14:textId="127053DE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</w:tr>
      <w:tr w:rsidR="00B448F7" w:rsidRPr="00FE075F" w14:paraId="0090A98F" w14:textId="2BCB5B2F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547804D3" w14:textId="3B173285" w:rsidR="00B448F7" w:rsidRPr="00FE075F" w:rsidRDefault="00FE075F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GPS C/N</w:t>
            </w:r>
            <w:r w:rsidRPr="00FE075F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requirement</w:t>
            </w:r>
          </w:p>
        </w:tc>
        <w:tc>
          <w:tcPr>
            <w:tcW w:w="1120" w:type="dxa"/>
            <w:vAlign w:val="center"/>
          </w:tcPr>
          <w:p w14:paraId="1B5E0273" w14:textId="4D78704D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00" w:type="dxa"/>
            <w:vAlign w:val="center"/>
          </w:tcPr>
          <w:p w14:paraId="3375DC63" w14:textId="75BDB9D7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dB-Hz</w:t>
            </w:r>
          </w:p>
        </w:tc>
      </w:tr>
      <w:tr w:rsidR="00B448F7" w:rsidRPr="00FE075F" w14:paraId="76FF9E24" w14:textId="4B94924A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48C573C5" w14:textId="5586CC82" w:rsidR="00B448F7" w:rsidRPr="00FE075F" w:rsidRDefault="00FE075F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n254 UL filter rejection in GPS band</w:t>
            </w:r>
          </w:p>
        </w:tc>
        <w:tc>
          <w:tcPr>
            <w:tcW w:w="1120" w:type="dxa"/>
            <w:vAlign w:val="center"/>
          </w:tcPr>
          <w:p w14:paraId="59F71579" w14:textId="257EE114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vAlign w:val="center"/>
          </w:tcPr>
          <w:p w14:paraId="1DBCEFEF" w14:textId="41B0EA6D" w:rsidR="00B448F7" w:rsidRP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dB</w:t>
            </w:r>
          </w:p>
        </w:tc>
      </w:tr>
      <w:tr w:rsidR="00FE075F" w:rsidRPr="00FE075F" w14:paraId="32357949" w14:textId="77777777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4BBB8F6A" w14:textId="74860D5F" w:rsidR="00FE075F" w:rsidRDefault="00FE075F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GPS filter to n254 UL rejection</w:t>
            </w:r>
          </w:p>
        </w:tc>
        <w:tc>
          <w:tcPr>
            <w:tcW w:w="1120" w:type="dxa"/>
            <w:vAlign w:val="center"/>
          </w:tcPr>
          <w:p w14:paraId="7579B484" w14:textId="14CF7C31" w:rsid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14:paraId="590F1214" w14:textId="23C34234" w:rsid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dB</w:t>
            </w:r>
          </w:p>
        </w:tc>
      </w:tr>
      <w:tr w:rsidR="00FE075F" w:rsidRPr="00FE075F" w14:paraId="156BDA8A" w14:textId="77777777" w:rsidTr="00FE075F">
        <w:trPr>
          <w:trHeight w:val="288"/>
          <w:jc w:val="center"/>
        </w:trPr>
        <w:tc>
          <w:tcPr>
            <w:tcW w:w="3110" w:type="dxa"/>
            <w:vAlign w:val="center"/>
          </w:tcPr>
          <w:p w14:paraId="7604E0F6" w14:textId="228FB7D6" w:rsidR="00FE075F" w:rsidRDefault="00FE075F" w:rsidP="00B448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NTN to GPS antenna isolation</w:t>
            </w:r>
          </w:p>
        </w:tc>
        <w:tc>
          <w:tcPr>
            <w:tcW w:w="1120" w:type="dxa"/>
            <w:vAlign w:val="center"/>
          </w:tcPr>
          <w:p w14:paraId="343728D1" w14:textId="6900AE0D" w:rsid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vAlign w:val="center"/>
          </w:tcPr>
          <w:p w14:paraId="43259FAF" w14:textId="6A5DEB38" w:rsidR="00FE075F" w:rsidRDefault="00FE075F" w:rsidP="00FE07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dB</w:t>
            </w:r>
          </w:p>
        </w:tc>
      </w:tr>
    </w:tbl>
    <w:p w14:paraId="1E3BE899" w14:textId="77777777" w:rsidR="00B24B83" w:rsidRDefault="00B24B83" w:rsidP="00B24B83">
      <w:pPr>
        <w:jc w:val="both"/>
        <w:rPr>
          <w:rFonts w:ascii="Arial" w:hAnsi="Arial" w:cs="Arial"/>
          <w:sz w:val="20"/>
          <w:szCs w:val="20"/>
        </w:rPr>
      </w:pPr>
    </w:p>
    <w:p w14:paraId="6DEEF21E" w14:textId="5908B450" w:rsidR="00B448F7" w:rsidRPr="00717845" w:rsidRDefault="00717845" w:rsidP="00717845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2-1 RF parameters for NTN L band and GPS in-device coexistence analysis</w:t>
      </w:r>
    </w:p>
    <w:p w14:paraId="503B5FD0" w14:textId="77777777" w:rsidR="00B448F7" w:rsidRPr="00717845" w:rsidRDefault="00B448F7" w:rsidP="00717845">
      <w:pPr>
        <w:jc w:val="both"/>
        <w:rPr>
          <w:rFonts w:ascii="Arial" w:hAnsi="Arial" w:cs="Arial"/>
          <w:sz w:val="20"/>
          <w:szCs w:val="20"/>
        </w:rPr>
      </w:pPr>
    </w:p>
    <w:p w14:paraId="389E5453" w14:textId="7D317051" w:rsidR="00B448F7" w:rsidRPr="00717845" w:rsidRDefault="00717845" w:rsidP="00BF7B7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CAEDB0B" wp14:editId="14412BCC">
            <wp:extent cx="3628805" cy="2668249"/>
            <wp:effectExtent l="0" t="0" r="3810" b="0"/>
            <wp:docPr id="1973223108" name="Picture 2" descr="A graph of a frequenc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223108" name="Picture 2" descr="A graph of a frequency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8608" cy="269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9DC7F" w14:textId="77777777" w:rsidR="00B448F7" w:rsidRDefault="00B448F7" w:rsidP="00717845">
      <w:pPr>
        <w:jc w:val="both"/>
        <w:rPr>
          <w:rFonts w:ascii="Arial" w:hAnsi="Arial" w:cs="Arial"/>
          <w:sz w:val="20"/>
          <w:szCs w:val="20"/>
        </w:rPr>
      </w:pPr>
    </w:p>
    <w:p w14:paraId="593CA482" w14:textId="16BF7AEC" w:rsidR="00717845" w:rsidRPr="00717845" w:rsidRDefault="00717845" w:rsidP="00717845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2-2 GPS </w:t>
      </w:r>
      <w:r w:rsidR="00BF7B76">
        <w:rPr>
          <w:rFonts w:ascii="Arial" w:hAnsi="Arial" w:cs="Arial"/>
          <w:b/>
          <w:bCs/>
          <w:sz w:val="20"/>
          <w:szCs w:val="20"/>
        </w:rPr>
        <w:t>filter frequency response</w:t>
      </w:r>
    </w:p>
    <w:p w14:paraId="29784D04" w14:textId="77777777" w:rsidR="00E7742B" w:rsidRDefault="00E7742B" w:rsidP="00B24B83">
      <w:pPr>
        <w:jc w:val="both"/>
        <w:rPr>
          <w:rFonts w:ascii="Arial" w:hAnsi="Arial" w:cs="Arial"/>
          <w:sz w:val="20"/>
          <w:szCs w:val="20"/>
        </w:rPr>
      </w:pPr>
    </w:p>
    <w:p w14:paraId="4DF64636" w14:textId="3C648C17" w:rsidR="00C92E30" w:rsidRPr="00E7742B" w:rsidRDefault="00BF7B76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are two major interference mechanisms from n254 UL which may impact GPS reception, one is the UL side-band noise falling into GPS band, the other is the UL blocking signal leaking into GPS </w:t>
      </w:r>
      <w:r w:rsidR="004759D0">
        <w:rPr>
          <w:rFonts w:ascii="Arial" w:hAnsi="Arial" w:cs="Arial"/>
          <w:sz w:val="20"/>
          <w:szCs w:val="20"/>
        </w:rPr>
        <w:t xml:space="preserve">receiver path. Our analysis shows that the impact from side-band noise falling into GPS band would not be an issue when UL transmission bandwidth is less than 4 MHz. However, due to insufficient GPS filter rejection and finite antenna isolation to n254 </w:t>
      </w:r>
      <w:r w:rsidR="00D04B25">
        <w:rPr>
          <w:rFonts w:ascii="Arial" w:hAnsi="Arial" w:cs="Arial"/>
          <w:sz w:val="20"/>
          <w:szCs w:val="20"/>
        </w:rPr>
        <w:t>UL</w:t>
      </w:r>
      <w:r w:rsidR="004759D0">
        <w:rPr>
          <w:rFonts w:ascii="Arial" w:hAnsi="Arial" w:cs="Arial"/>
          <w:sz w:val="20"/>
          <w:szCs w:val="20"/>
        </w:rPr>
        <w:t>, the blocking signal seen at GPS LNA input could be as high as 5 dBm which would</w:t>
      </w:r>
      <w:r w:rsidR="00D04B25">
        <w:rPr>
          <w:rFonts w:ascii="Arial" w:hAnsi="Arial" w:cs="Arial"/>
          <w:sz w:val="20"/>
          <w:szCs w:val="20"/>
        </w:rPr>
        <w:t xml:space="preserve"> fail the GPS reception, irrespective of the n254 UL transmission bandwidth.</w:t>
      </w:r>
      <w:r w:rsidR="004759D0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r w:rsidR="00E7742B">
        <w:rPr>
          <w:rFonts w:ascii="Arial" w:hAnsi="Arial" w:cs="Arial"/>
          <w:sz w:val="20"/>
          <w:szCs w:val="20"/>
        </w:rPr>
        <w:t xml:space="preserve"> </w:t>
      </w:r>
      <w:r w:rsidR="00B24B83">
        <w:rPr>
          <w:rFonts w:ascii="Arial" w:hAnsi="Arial" w:cs="Arial"/>
          <w:sz w:val="20"/>
          <w:szCs w:val="20"/>
        </w:rPr>
        <w:t xml:space="preserve">     </w:t>
      </w:r>
      <w:r w:rsidR="00A07A10">
        <w:rPr>
          <w:rFonts w:ascii="Arial" w:hAnsi="Arial" w:cs="Arial"/>
          <w:sz w:val="20"/>
          <w:szCs w:val="20"/>
        </w:rPr>
        <w:t xml:space="preserve"> </w:t>
      </w:r>
      <w:r w:rsidR="00C50BA3">
        <w:rPr>
          <w:rFonts w:ascii="Arial" w:hAnsi="Arial" w:cs="Arial"/>
          <w:sz w:val="20"/>
          <w:szCs w:val="20"/>
        </w:rPr>
        <w:t xml:space="preserve">  </w:t>
      </w:r>
      <w:r w:rsidR="00C17C12" w:rsidRPr="0082350C">
        <w:rPr>
          <w:rFonts w:ascii="Arial" w:hAnsi="Arial" w:cs="Arial"/>
          <w:i/>
          <w:iCs/>
          <w:sz w:val="20"/>
          <w:szCs w:val="20"/>
        </w:rPr>
        <w:t xml:space="preserve">  </w:t>
      </w:r>
      <w:r w:rsidR="004F0199" w:rsidRPr="0082350C">
        <w:rPr>
          <w:rFonts w:ascii="Arial" w:hAnsi="Arial" w:cs="Arial"/>
          <w:i/>
          <w:iCs/>
          <w:sz w:val="20"/>
          <w:szCs w:val="20"/>
        </w:rPr>
        <w:t xml:space="preserve">   </w:t>
      </w:r>
      <w:r w:rsidR="007121B5" w:rsidRPr="0082350C">
        <w:rPr>
          <w:rFonts w:ascii="Arial" w:hAnsi="Arial" w:cs="Arial"/>
          <w:i/>
          <w:iCs/>
          <w:sz w:val="20"/>
          <w:szCs w:val="20"/>
        </w:rPr>
        <w:t xml:space="preserve">  </w:t>
      </w:r>
    </w:p>
    <w:p w14:paraId="7BF07688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27C9E74C" w14:textId="76569CAC" w:rsidR="0082350C" w:rsidRDefault="0082350C" w:rsidP="0082350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D04B25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 w:rsidR="00D04B25" w:rsidRPr="00D04B25">
        <w:rPr>
          <w:rFonts w:ascii="Arial" w:hAnsi="Arial" w:cs="Arial"/>
          <w:i/>
          <w:iCs/>
          <w:sz w:val="20"/>
          <w:szCs w:val="20"/>
        </w:rPr>
        <w:t>There are two major interference mechanisms from n254 UL which may impact GPS reception, one is the UL side-band noise falling into GPS band, the other is the UL blocking signal leaking into GPS receiver path.</w:t>
      </w:r>
      <w:r w:rsidR="00E7742B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8C9844F" w14:textId="2B5CF258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DB00A28" w14:textId="363E8E94" w:rsidR="0082350C" w:rsidRDefault="00D04B25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The </w:t>
      </w:r>
      <w:r w:rsidRPr="00D04B25">
        <w:rPr>
          <w:rFonts w:ascii="Arial" w:hAnsi="Arial" w:cs="Arial"/>
          <w:i/>
          <w:iCs/>
          <w:sz w:val="20"/>
          <w:szCs w:val="20"/>
        </w:rPr>
        <w:t xml:space="preserve">impact from </w:t>
      </w:r>
      <w:r>
        <w:rPr>
          <w:rFonts w:ascii="Arial" w:hAnsi="Arial" w:cs="Arial"/>
          <w:i/>
          <w:iCs/>
          <w:sz w:val="20"/>
          <w:szCs w:val="20"/>
        </w:rPr>
        <w:t xml:space="preserve">n254 UL </w:t>
      </w:r>
      <w:r w:rsidRPr="00D04B25">
        <w:rPr>
          <w:rFonts w:ascii="Arial" w:hAnsi="Arial" w:cs="Arial"/>
          <w:i/>
          <w:iCs/>
          <w:sz w:val="20"/>
          <w:szCs w:val="20"/>
        </w:rPr>
        <w:t>side-band noise falling into GPS band would not be an issue when UL transmission bandwidth is less than 4 MHz.</w:t>
      </w:r>
    </w:p>
    <w:p w14:paraId="4CC23C0C" w14:textId="77777777" w:rsidR="0082350C" w:rsidRDefault="0082350C" w:rsidP="0082350C">
      <w:pPr>
        <w:jc w:val="both"/>
        <w:rPr>
          <w:rFonts w:ascii="Arial" w:hAnsi="Arial" w:cs="Arial"/>
          <w:sz w:val="20"/>
          <w:szCs w:val="20"/>
        </w:rPr>
      </w:pPr>
    </w:p>
    <w:p w14:paraId="60C161A7" w14:textId="081FE5AD" w:rsidR="00D04B25" w:rsidRDefault="00D04B25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D</w:t>
      </w:r>
      <w:r w:rsidRPr="00D04B25">
        <w:rPr>
          <w:rFonts w:ascii="Arial" w:hAnsi="Arial" w:cs="Arial"/>
          <w:i/>
          <w:iCs/>
          <w:sz w:val="20"/>
          <w:szCs w:val="20"/>
        </w:rPr>
        <w:t>ue to insufficient GPS filter rejection and finite antenna isolation to n254 UL, the blocking signal seen at GPS LNA input could be as high as 5 dBm which would fail the GPS reception, irrespective of the n254 UL transmission bandwidth.</w:t>
      </w:r>
    </w:p>
    <w:p w14:paraId="3F82A107" w14:textId="77777777" w:rsidR="00D04B25" w:rsidRDefault="00D04B25" w:rsidP="00D04B25">
      <w:pPr>
        <w:jc w:val="both"/>
        <w:rPr>
          <w:rFonts w:ascii="Arial" w:hAnsi="Arial" w:cs="Arial"/>
          <w:sz w:val="20"/>
          <w:szCs w:val="20"/>
        </w:rPr>
      </w:pPr>
    </w:p>
    <w:p w14:paraId="55E59879" w14:textId="0ED6ECFB" w:rsidR="00C92E30" w:rsidRDefault="00D04B25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observations, we can conclude that </w:t>
      </w:r>
      <w:r w:rsidR="004F6765" w:rsidRPr="004F6765">
        <w:rPr>
          <w:rFonts w:ascii="Arial" w:hAnsi="Arial" w:cs="Arial"/>
          <w:sz w:val="20"/>
          <w:szCs w:val="20"/>
        </w:rPr>
        <w:t>it would not be feasible to support simultaneous Rx/Tx between GPS receiver and L-band UL transmission at maximum output power</w:t>
      </w:r>
      <w:r w:rsidR="004F6765">
        <w:rPr>
          <w:rFonts w:ascii="Arial" w:hAnsi="Arial" w:cs="Arial"/>
          <w:sz w:val="20"/>
          <w:szCs w:val="20"/>
        </w:rPr>
        <w:t>.</w:t>
      </w:r>
      <w:r w:rsidR="002E0A7D">
        <w:rPr>
          <w:rFonts w:ascii="Arial" w:hAnsi="Arial" w:cs="Arial"/>
          <w:sz w:val="20"/>
          <w:szCs w:val="20"/>
        </w:rPr>
        <w:t xml:space="preserve">  </w:t>
      </w:r>
      <w:r w:rsidR="001441CF">
        <w:rPr>
          <w:rFonts w:ascii="Arial" w:hAnsi="Arial" w:cs="Arial"/>
          <w:sz w:val="20"/>
          <w:szCs w:val="20"/>
        </w:rPr>
        <w:t xml:space="preserve"> </w:t>
      </w:r>
      <w:r w:rsidR="00031FA7">
        <w:rPr>
          <w:rFonts w:ascii="Arial" w:hAnsi="Arial" w:cs="Arial"/>
          <w:sz w:val="20"/>
          <w:szCs w:val="20"/>
        </w:rPr>
        <w:t xml:space="preserve"> </w:t>
      </w:r>
      <w:r w:rsidR="002F0D6A">
        <w:rPr>
          <w:rFonts w:ascii="Arial" w:hAnsi="Arial" w:cs="Arial"/>
          <w:sz w:val="20"/>
          <w:szCs w:val="20"/>
        </w:rPr>
        <w:t xml:space="preserve"> </w:t>
      </w:r>
      <w:r w:rsidR="00CD7FD3">
        <w:rPr>
          <w:rFonts w:ascii="Arial" w:hAnsi="Arial" w:cs="Arial"/>
          <w:sz w:val="20"/>
          <w:szCs w:val="20"/>
        </w:rPr>
        <w:t xml:space="preserve">  </w:t>
      </w:r>
    </w:p>
    <w:p w14:paraId="641748A0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6C4A06D4" w14:textId="0D4CB85E" w:rsidR="00C92E30" w:rsidRPr="008D1F7A" w:rsidRDefault="00C92E30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4F6765"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4F6765">
        <w:rPr>
          <w:rFonts w:ascii="Arial" w:hAnsi="Arial" w:cs="Arial"/>
          <w:i/>
          <w:iCs/>
          <w:sz w:val="20"/>
          <w:szCs w:val="20"/>
        </w:rPr>
        <w:t>I</w:t>
      </w:r>
      <w:r w:rsidR="004F6765" w:rsidRPr="004F6765">
        <w:rPr>
          <w:rFonts w:ascii="Arial" w:hAnsi="Arial" w:cs="Arial"/>
          <w:i/>
          <w:iCs/>
          <w:sz w:val="20"/>
          <w:szCs w:val="20"/>
        </w:rPr>
        <w:t>t would not be feasible to support simultaneous Rx/Tx between GPS receiver and L-band UL transmission at maximum output power.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7E5CD04C" w14:textId="75475CEC" w:rsidR="00564D68" w:rsidRPr="004F6765" w:rsidRDefault="006A0D7D" w:rsidP="00DC3E60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As t</w:t>
      </w:r>
      <w:r w:rsidR="004F6765">
        <w:rPr>
          <w:rFonts w:ascii="Arial" w:hAnsi="Arial" w:cs="Arial"/>
          <w:bCs/>
          <w:sz w:val="20"/>
          <w:szCs w:val="20"/>
        </w:rPr>
        <w:t xml:space="preserve">o our understanding the GNSS capabilities is mainly for UE to identify its own position such that it can pre-compensate </w:t>
      </w:r>
      <w:r w:rsidRPr="006A0D7D">
        <w:rPr>
          <w:rFonts w:ascii="Arial" w:hAnsi="Arial" w:cs="Arial"/>
          <w:bCs/>
          <w:sz w:val="20"/>
          <w:szCs w:val="20"/>
        </w:rPr>
        <w:t>for the delay of the transmission to the satellite</w:t>
      </w:r>
      <w:r>
        <w:rPr>
          <w:rFonts w:ascii="Arial" w:hAnsi="Arial" w:cs="Arial"/>
          <w:bCs/>
          <w:sz w:val="20"/>
          <w:szCs w:val="20"/>
        </w:rPr>
        <w:t xml:space="preserve"> to achieve </w:t>
      </w:r>
      <w:r w:rsidRPr="006A0D7D">
        <w:rPr>
          <w:rFonts w:ascii="Arial" w:hAnsi="Arial" w:cs="Arial"/>
          <w:bCs/>
          <w:sz w:val="20"/>
          <w:szCs w:val="20"/>
        </w:rPr>
        <w:t>synchroni</w:t>
      </w:r>
      <w:r>
        <w:rPr>
          <w:rFonts w:ascii="Arial" w:hAnsi="Arial" w:cs="Arial"/>
          <w:bCs/>
          <w:sz w:val="20"/>
          <w:szCs w:val="20"/>
        </w:rPr>
        <w:t>z</w:t>
      </w:r>
      <w:r w:rsidRPr="006A0D7D">
        <w:rPr>
          <w:rFonts w:ascii="Arial" w:hAnsi="Arial" w:cs="Arial"/>
          <w:bCs/>
          <w:sz w:val="20"/>
          <w:szCs w:val="20"/>
        </w:rPr>
        <w:t>ation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A0D7D">
        <w:rPr>
          <w:rFonts w:ascii="Arial" w:hAnsi="Arial" w:cs="Arial"/>
          <w:bCs/>
          <w:sz w:val="20"/>
          <w:szCs w:val="20"/>
        </w:rPr>
        <w:t>before and during connection to a</w:t>
      </w:r>
      <w:r>
        <w:rPr>
          <w:rFonts w:ascii="Arial" w:hAnsi="Arial" w:cs="Arial"/>
          <w:bCs/>
          <w:sz w:val="20"/>
          <w:szCs w:val="20"/>
        </w:rPr>
        <w:t>n NTN</w:t>
      </w:r>
      <w:r w:rsidRPr="006A0D7D">
        <w:rPr>
          <w:rFonts w:ascii="Arial" w:hAnsi="Arial" w:cs="Arial"/>
          <w:bCs/>
          <w:sz w:val="20"/>
          <w:szCs w:val="20"/>
        </w:rPr>
        <w:t xml:space="preserve"> cell</w:t>
      </w:r>
      <w:r>
        <w:rPr>
          <w:rFonts w:ascii="Arial" w:hAnsi="Arial" w:cs="Arial"/>
          <w:bCs/>
          <w:sz w:val="20"/>
          <w:szCs w:val="20"/>
        </w:rPr>
        <w:t xml:space="preserve">, it is unclear whether the GNSS </w:t>
      </w:r>
      <w:r w:rsidR="00DC3E60">
        <w:rPr>
          <w:rFonts w:ascii="Arial" w:hAnsi="Arial" w:cs="Arial"/>
          <w:bCs/>
          <w:sz w:val="20"/>
          <w:szCs w:val="20"/>
        </w:rPr>
        <w:t xml:space="preserve">position </w:t>
      </w:r>
      <w:r>
        <w:rPr>
          <w:rFonts w:ascii="Arial" w:hAnsi="Arial" w:cs="Arial"/>
          <w:bCs/>
          <w:sz w:val="20"/>
          <w:szCs w:val="20"/>
        </w:rPr>
        <w:t>fix is still required when the connection to satellite is already established</w:t>
      </w:r>
      <w:r w:rsidR="00B711EB">
        <w:rPr>
          <w:rFonts w:ascii="Arial" w:hAnsi="Arial" w:cs="Arial"/>
          <w:bCs/>
          <w:sz w:val="20"/>
          <w:szCs w:val="20"/>
        </w:rPr>
        <w:t xml:space="preserve">. If GNSS </w:t>
      </w:r>
      <w:r w:rsidR="00DC3E60">
        <w:rPr>
          <w:rFonts w:ascii="Arial" w:hAnsi="Arial" w:cs="Arial"/>
          <w:bCs/>
          <w:sz w:val="20"/>
          <w:szCs w:val="20"/>
        </w:rPr>
        <w:t xml:space="preserve">position </w:t>
      </w:r>
      <w:r w:rsidR="00B711EB">
        <w:rPr>
          <w:rFonts w:ascii="Arial" w:hAnsi="Arial" w:cs="Arial"/>
          <w:bCs/>
          <w:sz w:val="20"/>
          <w:szCs w:val="20"/>
        </w:rPr>
        <w:t xml:space="preserve">fix is not required during the NTN connected mode, there does not seem to have a need to find a solution for mitigating the </w:t>
      </w:r>
      <w:r w:rsidR="00DC3E60">
        <w:rPr>
          <w:rFonts w:ascii="Arial" w:hAnsi="Arial" w:cs="Arial"/>
          <w:bCs/>
          <w:sz w:val="20"/>
          <w:szCs w:val="20"/>
        </w:rPr>
        <w:t>in-device coexistence issue between NTN operation and GNSS.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="004F6765">
        <w:rPr>
          <w:rFonts w:ascii="Arial" w:hAnsi="Arial" w:cs="Arial"/>
          <w:bCs/>
          <w:sz w:val="20"/>
          <w:szCs w:val="20"/>
        </w:rPr>
        <w:t xml:space="preserve"> </w:t>
      </w:r>
    </w:p>
    <w:p w14:paraId="48D61F4D" w14:textId="77777777" w:rsidR="004F6765" w:rsidRDefault="004F6765" w:rsidP="00B75DED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0A2AF626" w14:textId="73F4A886" w:rsidR="00DC3E60" w:rsidRDefault="00DC3E60" w:rsidP="00DC3E60">
      <w:pPr>
        <w:spacing w:after="120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I</w:t>
      </w:r>
      <w:r w:rsidRPr="00DC3E60">
        <w:rPr>
          <w:rFonts w:ascii="Arial" w:hAnsi="Arial" w:cs="Arial"/>
          <w:bCs/>
          <w:i/>
          <w:iCs/>
          <w:sz w:val="20"/>
          <w:szCs w:val="20"/>
        </w:rPr>
        <w:t>t is unclear whether the GNSS position fix is still required when the connection to satellite is already established.</w:t>
      </w:r>
    </w:p>
    <w:p w14:paraId="75E3E071" w14:textId="77777777" w:rsidR="004F6765" w:rsidRDefault="004F6765" w:rsidP="00B75DED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1A14367" w14:textId="394654F0" w:rsidR="00DC3E60" w:rsidRDefault="00DC3E60" w:rsidP="00DC3E60">
      <w:pPr>
        <w:spacing w:after="120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DC3E60">
        <w:rPr>
          <w:rFonts w:ascii="Arial" w:hAnsi="Arial" w:cs="Arial"/>
          <w:bCs/>
          <w:i/>
          <w:iCs/>
          <w:sz w:val="20"/>
          <w:szCs w:val="20"/>
        </w:rPr>
        <w:t>If GNSS position fix is not required during the NTN connected mode, there does not seem to have a need to find a solution for mitigating the in-device coexistence issue between NTN operation and GNSS.</w:t>
      </w:r>
    </w:p>
    <w:p w14:paraId="26099B53" w14:textId="77777777" w:rsidR="00DC3E60" w:rsidRPr="00DC3E60" w:rsidRDefault="00DC3E60" w:rsidP="00DC3E60">
      <w:pPr>
        <w:jc w:val="both"/>
        <w:rPr>
          <w:rFonts w:ascii="Arial" w:hAnsi="Arial" w:cs="Arial"/>
          <w:bCs/>
          <w:sz w:val="20"/>
          <w:szCs w:val="20"/>
        </w:rPr>
      </w:pPr>
    </w:p>
    <w:p w14:paraId="48E2EFA7" w14:textId="30CE49FF" w:rsidR="00C96A5B" w:rsidRPr="00C96A5B" w:rsidRDefault="00DA20B4" w:rsidP="00DC3E60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DC3E60" w:rsidRPr="00DC3E60">
        <w:rPr>
          <w:rFonts w:ascii="Arial" w:hAnsi="Arial" w:cs="Arial"/>
          <w:bCs/>
          <w:i/>
          <w:iCs/>
          <w:sz w:val="20"/>
          <w:szCs w:val="20"/>
        </w:rPr>
        <w:t>3GPP to clarify whether GNSS</w:t>
      </w:r>
      <w:r w:rsidR="00DC3E60">
        <w:rPr>
          <w:rFonts w:ascii="Arial" w:hAnsi="Arial" w:cs="Arial"/>
          <w:bCs/>
          <w:i/>
          <w:iCs/>
          <w:sz w:val="20"/>
          <w:szCs w:val="20"/>
        </w:rPr>
        <w:t xml:space="preserve"> position fix</w:t>
      </w:r>
      <w:r w:rsidR="00DC3E60" w:rsidRPr="00DC3E60">
        <w:rPr>
          <w:rFonts w:ascii="Arial" w:hAnsi="Arial" w:cs="Arial"/>
          <w:bCs/>
          <w:i/>
          <w:iCs/>
          <w:sz w:val="20"/>
          <w:szCs w:val="20"/>
        </w:rPr>
        <w:t xml:space="preserve"> is only needed during the NTN initial access</w:t>
      </w:r>
      <w:r w:rsidR="00DC3E60">
        <w:rPr>
          <w:rFonts w:ascii="Arial" w:hAnsi="Arial" w:cs="Arial"/>
          <w:bCs/>
          <w:i/>
          <w:iCs/>
          <w:sz w:val="20"/>
          <w:szCs w:val="20"/>
        </w:rPr>
        <w:t xml:space="preserve"> or it is also required during the NTN connected mode. 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296C43A9" w:rsidR="006D7B72" w:rsidRPr="00DA20B4" w:rsidRDefault="00564780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provide our preliminary RF analysis on the worst-case in-device coexistence scenario between NR NTN L-band UL and GPS band and conclude that it would not be feasible to support simultaneous Rx/Tx between GPS receiver and L-band UL transmission at maximum output power </w:t>
      </w:r>
      <w:r w:rsidRPr="00F149AF">
        <w:rPr>
          <w:rFonts w:ascii="Arial" w:hAnsi="Arial" w:cs="Arial"/>
          <w:sz w:val="20"/>
          <w:szCs w:val="20"/>
        </w:rPr>
        <w:t>based on the typical</w:t>
      </w:r>
      <w:r>
        <w:rPr>
          <w:rFonts w:ascii="Arial" w:hAnsi="Arial" w:cs="Arial"/>
          <w:sz w:val="20"/>
          <w:szCs w:val="20"/>
        </w:rPr>
        <w:t xml:space="preserve"> RF </w:t>
      </w:r>
      <w:r w:rsidRPr="00F149AF">
        <w:rPr>
          <w:rFonts w:ascii="Arial" w:hAnsi="Arial" w:cs="Arial"/>
          <w:sz w:val="20"/>
          <w:szCs w:val="20"/>
        </w:rPr>
        <w:t>front-end HW implementation</w:t>
      </w:r>
      <w:r>
        <w:rPr>
          <w:rFonts w:ascii="Arial" w:hAnsi="Arial" w:cs="Arial"/>
          <w:sz w:val="20"/>
          <w:szCs w:val="20"/>
        </w:rPr>
        <w:t xml:space="preserve"> for handheld or RedCap UE.</w:t>
      </w:r>
      <w:r w:rsidR="00090307">
        <w:rPr>
          <w:rFonts w:ascii="Arial" w:hAnsi="Arial" w:cs="Arial"/>
          <w:sz w:val="20"/>
          <w:szCs w:val="20"/>
        </w:rPr>
        <w:t xml:space="preserve">  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E5DE087" w14:textId="77777777" w:rsidR="0022083E" w:rsidRDefault="0022083E" w:rsidP="0022083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 w:rsidRPr="00D04B25">
        <w:rPr>
          <w:rFonts w:ascii="Arial" w:hAnsi="Arial" w:cs="Arial"/>
          <w:i/>
          <w:iCs/>
          <w:sz w:val="20"/>
          <w:szCs w:val="20"/>
        </w:rPr>
        <w:t>There are two major interference mechanisms from n254 UL which may impact GPS reception, one is the UL side-band noise falling into GPS band, the other is the UL blocking signal leaking into GPS receiver path.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27B910E" w14:textId="77777777" w:rsidR="0022083E" w:rsidRDefault="0022083E" w:rsidP="002208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978A325" w14:textId="77777777" w:rsidR="0022083E" w:rsidRDefault="0022083E" w:rsidP="0022083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The </w:t>
      </w:r>
      <w:r w:rsidRPr="00D04B25">
        <w:rPr>
          <w:rFonts w:ascii="Arial" w:hAnsi="Arial" w:cs="Arial"/>
          <w:i/>
          <w:iCs/>
          <w:sz w:val="20"/>
          <w:szCs w:val="20"/>
        </w:rPr>
        <w:t xml:space="preserve">impact from </w:t>
      </w:r>
      <w:r>
        <w:rPr>
          <w:rFonts w:ascii="Arial" w:hAnsi="Arial" w:cs="Arial"/>
          <w:i/>
          <w:iCs/>
          <w:sz w:val="20"/>
          <w:szCs w:val="20"/>
        </w:rPr>
        <w:t xml:space="preserve">n254 UL </w:t>
      </w:r>
      <w:r w:rsidRPr="00D04B25">
        <w:rPr>
          <w:rFonts w:ascii="Arial" w:hAnsi="Arial" w:cs="Arial"/>
          <w:i/>
          <w:iCs/>
          <w:sz w:val="20"/>
          <w:szCs w:val="20"/>
        </w:rPr>
        <w:t>side-band noise falling into GPS band would not be an issue when UL transmission bandwidth is less than 4 MHz.</w:t>
      </w:r>
    </w:p>
    <w:p w14:paraId="5417B335" w14:textId="77777777" w:rsidR="0022083E" w:rsidRDefault="0022083E" w:rsidP="0022083E">
      <w:pPr>
        <w:jc w:val="both"/>
        <w:rPr>
          <w:rFonts w:ascii="Arial" w:hAnsi="Arial" w:cs="Arial"/>
          <w:sz w:val="20"/>
          <w:szCs w:val="20"/>
        </w:rPr>
      </w:pPr>
    </w:p>
    <w:p w14:paraId="2BB3BA6C" w14:textId="2C42E042" w:rsidR="009F28AE" w:rsidRDefault="0022083E" w:rsidP="0022083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D</w:t>
      </w:r>
      <w:r w:rsidRPr="00D04B25">
        <w:rPr>
          <w:rFonts w:ascii="Arial" w:hAnsi="Arial" w:cs="Arial"/>
          <w:i/>
          <w:iCs/>
          <w:sz w:val="20"/>
          <w:szCs w:val="20"/>
        </w:rPr>
        <w:t>ue to insufficient GPS filter rejection and finite antenna isolation to n254 UL, the blocking signal seen at GPS LNA input could be as high as 5 dBm which would fail the GPS reception, irrespective of the n254 UL transmission bandwidth.</w:t>
      </w:r>
    </w:p>
    <w:p w14:paraId="6A763538" w14:textId="77777777" w:rsidR="009F28AE" w:rsidRPr="009F28AE" w:rsidRDefault="009F28AE" w:rsidP="009F28AE">
      <w:pPr>
        <w:jc w:val="both"/>
        <w:rPr>
          <w:rFonts w:ascii="Arial" w:hAnsi="Arial" w:cs="Arial"/>
          <w:sz w:val="20"/>
          <w:szCs w:val="20"/>
        </w:rPr>
      </w:pPr>
    </w:p>
    <w:p w14:paraId="18A53C75" w14:textId="19287D09" w:rsidR="00564D68" w:rsidRPr="008D1F7A" w:rsidRDefault="0022083E" w:rsidP="00564D6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4F6765">
        <w:rPr>
          <w:rFonts w:ascii="Arial" w:hAnsi="Arial" w:cs="Arial"/>
          <w:i/>
          <w:iCs/>
          <w:sz w:val="20"/>
          <w:szCs w:val="20"/>
        </w:rPr>
        <w:t>t would not be feasible to support simultaneous Rx/Tx between GPS receiver and L-band UL transmission at maximum output power.</w:t>
      </w:r>
      <w:r w:rsidR="00564D68"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783D7CF5" w14:textId="77777777" w:rsidR="00564D68" w:rsidRDefault="00564D68" w:rsidP="008174FE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7240CB10" w14:textId="77777777" w:rsidR="0022083E" w:rsidRDefault="0022083E" w:rsidP="0022083E">
      <w:pPr>
        <w:spacing w:after="120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I</w:t>
      </w:r>
      <w:r w:rsidRPr="00DC3E60">
        <w:rPr>
          <w:rFonts w:ascii="Arial" w:hAnsi="Arial" w:cs="Arial"/>
          <w:bCs/>
          <w:i/>
          <w:iCs/>
          <w:sz w:val="20"/>
          <w:szCs w:val="20"/>
        </w:rPr>
        <w:t>t is unclear whether the GNSS position fix is still required when the connection to satellite is already established.</w:t>
      </w:r>
    </w:p>
    <w:p w14:paraId="3ABB2983" w14:textId="77777777" w:rsidR="0022083E" w:rsidRDefault="0022083E" w:rsidP="0022083E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39345471" w14:textId="77777777" w:rsidR="0022083E" w:rsidRDefault="0022083E" w:rsidP="0022083E">
      <w:pPr>
        <w:spacing w:after="120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DC3E60">
        <w:rPr>
          <w:rFonts w:ascii="Arial" w:hAnsi="Arial" w:cs="Arial"/>
          <w:bCs/>
          <w:i/>
          <w:iCs/>
          <w:sz w:val="20"/>
          <w:szCs w:val="20"/>
        </w:rPr>
        <w:t>If GNSS position fix is not required during the NTN connected mode, there does not seem to have a need to find a solution for mitigating the in-device coexistence issue between NTN operation and GNSS.</w:t>
      </w:r>
    </w:p>
    <w:p w14:paraId="27984254" w14:textId="77777777" w:rsidR="0022083E" w:rsidRPr="00DC3E60" w:rsidRDefault="0022083E" w:rsidP="0022083E">
      <w:pPr>
        <w:jc w:val="both"/>
        <w:rPr>
          <w:rFonts w:ascii="Arial" w:hAnsi="Arial" w:cs="Arial"/>
          <w:bCs/>
          <w:sz w:val="20"/>
          <w:szCs w:val="20"/>
        </w:rPr>
      </w:pPr>
    </w:p>
    <w:p w14:paraId="73F85D5E" w14:textId="17354ABD" w:rsidR="00E75946" w:rsidRPr="00C96A5B" w:rsidRDefault="0022083E" w:rsidP="0022083E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Pr="00DC3E60">
        <w:rPr>
          <w:rFonts w:ascii="Arial" w:hAnsi="Arial" w:cs="Arial"/>
          <w:bCs/>
          <w:i/>
          <w:iCs/>
          <w:sz w:val="20"/>
          <w:szCs w:val="20"/>
        </w:rPr>
        <w:t>3GPP to clarify whether GNSS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position fix</w:t>
      </w:r>
      <w:r w:rsidRPr="00DC3E60">
        <w:rPr>
          <w:rFonts w:ascii="Arial" w:hAnsi="Arial" w:cs="Arial"/>
          <w:bCs/>
          <w:i/>
          <w:iCs/>
          <w:sz w:val="20"/>
          <w:szCs w:val="20"/>
        </w:rPr>
        <w:t xml:space="preserve"> is only needed during the NTN initial access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or it is also required during the NTN connected mode.</w:t>
      </w:r>
    </w:p>
    <w:p w14:paraId="5D2DDC34" w14:textId="0A720319" w:rsidR="005E69AE" w:rsidRDefault="00987E57" w:rsidP="005E69AE">
      <w:pPr>
        <w:pStyle w:val="Heading1"/>
      </w:pPr>
      <w:r>
        <w:t>4</w:t>
      </w:r>
      <w:r w:rsidR="005E69AE">
        <w:tab/>
        <w:t>Reference</w:t>
      </w:r>
      <w:r w:rsidR="00307EB9">
        <w:t>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6B45D8A2" w14:textId="5FB70FF2" w:rsidR="00C57E50" w:rsidRDefault="00CE4DF9" w:rsidP="009F28A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</w:t>
      </w:r>
      <w:r>
        <w:rPr>
          <w:rFonts w:ascii="Arial" w:hAnsi="Arial" w:cs="Arial"/>
          <w:bCs/>
          <w:sz w:val="20"/>
          <w:szCs w:val="20"/>
        </w:rPr>
        <w:t>34078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“</w:t>
      </w:r>
      <w:r w:rsidRPr="00203122">
        <w:rPr>
          <w:rFonts w:ascii="Arial" w:hAnsi="Arial" w:cs="Arial"/>
          <w:bCs/>
          <w:sz w:val="20"/>
          <w:szCs w:val="20"/>
        </w:rPr>
        <w:t>New WID: Non-Terrestrial Networks (NTN) for NR Phase 3</w:t>
      </w:r>
      <w:r>
        <w:rPr>
          <w:rFonts w:ascii="Arial" w:hAnsi="Arial" w:cs="Arial"/>
          <w:bCs/>
          <w:sz w:val="20"/>
          <w:szCs w:val="20"/>
        </w:rPr>
        <w:t>”</w:t>
      </w:r>
      <w:r w:rsidRPr="008B4249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Huawei, </w:t>
      </w:r>
      <w:r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102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203122">
        <w:rPr>
          <w:rFonts w:ascii="Arial" w:hAnsi="Arial" w:cs="Arial"/>
          <w:bCs/>
          <w:sz w:val="20"/>
          <w:szCs w:val="20"/>
        </w:rPr>
        <w:t>Edinburgh, Scotland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December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11</w:t>
      </w:r>
      <w:r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15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3</w:t>
      </w:r>
    </w:p>
    <w:p w14:paraId="620B7459" w14:textId="49387A78" w:rsidR="004C260B" w:rsidRPr="00DD7499" w:rsidRDefault="001E5F25" w:rsidP="00DD749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1E5F25">
        <w:rPr>
          <w:rFonts w:ascii="Arial" w:hAnsi="Arial" w:cs="Arial"/>
          <w:bCs/>
          <w:sz w:val="20"/>
          <w:szCs w:val="20"/>
        </w:rPr>
        <w:lastRenderedPageBreak/>
        <w:t>R</w:t>
      </w:r>
      <w:r w:rsidR="00CE4DF9">
        <w:rPr>
          <w:rFonts w:ascii="Arial" w:hAnsi="Arial" w:cs="Arial"/>
          <w:bCs/>
          <w:sz w:val="20"/>
          <w:szCs w:val="20"/>
        </w:rPr>
        <w:t>4</w:t>
      </w:r>
      <w:r w:rsidRPr="001E5F25">
        <w:rPr>
          <w:rFonts w:ascii="Arial" w:hAnsi="Arial" w:cs="Arial"/>
          <w:bCs/>
          <w:sz w:val="20"/>
          <w:szCs w:val="20"/>
        </w:rPr>
        <w:t>-24</w:t>
      </w:r>
      <w:r w:rsidR="00CE4DF9">
        <w:rPr>
          <w:rFonts w:ascii="Arial" w:hAnsi="Arial" w:cs="Arial"/>
          <w:bCs/>
          <w:sz w:val="20"/>
          <w:szCs w:val="20"/>
        </w:rPr>
        <w:t>13527</w:t>
      </w:r>
      <w:r w:rsidR="0091243B">
        <w:rPr>
          <w:rFonts w:ascii="Arial" w:hAnsi="Arial" w:cs="Arial"/>
          <w:bCs/>
          <w:sz w:val="20"/>
          <w:szCs w:val="20"/>
        </w:rPr>
        <w:t xml:space="preserve"> </w:t>
      </w:r>
      <w:r w:rsidR="004C260B" w:rsidRPr="004C260B">
        <w:rPr>
          <w:rFonts w:ascii="Arial" w:hAnsi="Arial" w:cs="Arial"/>
          <w:bCs/>
          <w:sz w:val="20"/>
          <w:szCs w:val="20"/>
        </w:rPr>
        <w:t>“</w:t>
      </w:r>
      <w:r w:rsidR="00CE4DF9" w:rsidRPr="00CE4DF9">
        <w:rPr>
          <w:rFonts w:ascii="Arial" w:hAnsi="Arial" w:cs="Arial"/>
          <w:bCs/>
          <w:sz w:val="20"/>
          <w:szCs w:val="20"/>
        </w:rPr>
        <w:t>Way Forward for [112][311] NR_NTN_Ph3_UE_RF</w:t>
      </w:r>
      <w:r w:rsidR="004C260B" w:rsidRPr="004C260B">
        <w:rPr>
          <w:rFonts w:ascii="Arial" w:hAnsi="Arial" w:cs="Arial"/>
          <w:bCs/>
          <w:sz w:val="20"/>
          <w:szCs w:val="20"/>
        </w:rPr>
        <w:t>”</w:t>
      </w:r>
      <w:r w:rsidR="004C260B">
        <w:rPr>
          <w:rFonts w:ascii="Arial" w:hAnsi="Arial" w:cs="Arial"/>
          <w:bCs/>
          <w:sz w:val="20"/>
          <w:szCs w:val="20"/>
        </w:rPr>
        <w:t xml:space="preserve">, </w:t>
      </w:r>
      <w:r w:rsidR="00CE4DF9">
        <w:rPr>
          <w:rFonts w:ascii="Arial" w:hAnsi="Arial" w:cs="Arial"/>
          <w:bCs/>
          <w:sz w:val="20"/>
          <w:szCs w:val="20"/>
        </w:rPr>
        <w:t>Qualcomm</w:t>
      </w:r>
      <w:r w:rsidR="004C260B">
        <w:rPr>
          <w:rFonts w:ascii="Arial" w:hAnsi="Arial" w:cs="Arial"/>
          <w:bCs/>
          <w:sz w:val="20"/>
          <w:szCs w:val="20"/>
        </w:rPr>
        <w:t xml:space="preserve">, </w:t>
      </w:r>
      <w:r w:rsidRPr="008B4249">
        <w:rPr>
          <w:rFonts w:ascii="Arial" w:hAnsi="Arial" w:cs="Arial"/>
          <w:bCs/>
          <w:sz w:val="20"/>
          <w:szCs w:val="20"/>
        </w:rPr>
        <w:t xml:space="preserve">3GPP TSG-RAN </w:t>
      </w:r>
      <w:r>
        <w:rPr>
          <w:rFonts w:ascii="Arial" w:hAnsi="Arial" w:cs="Arial"/>
          <w:bCs/>
          <w:sz w:val="20"/>
          <w:szCs w:val="20"/>
        </w:rPr>
        <w:t>WG</w:t>
      </w:r>
      <w:r w:rsidR="00CE4DF9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4249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11</w:t>
      </w:r>
      <w:r w:rsidR="00CE4DF9">
        <w:rPr>
          <w:rFonts w:ascii="Arial" w:hAnsi="Arial" w:cs="Arial"/>
          <w:bCs/>
          <w:sz w:val="20"/>
          <w:szCs w:val="20"/>
        </w:rPr>
        <w:t>2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4C260B">
        <w:rPr>
          <w:rFonts w:ascii="Arial" w:hAnsi="Arial" w:cs="Arial"/>
          <w:bCs/>
          <w:sz w:val="20"/>
          <w:szCs w:val="20"/>
        </w:rPr>
        <w:t>Maastricht, Netherlands, August 19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4C260B">
        <w:rPr>
          <w:rFonts w:ascii="Arial" w:hAnsi="Arial" w:cs="Arial"/>
          <w:bCs/>
          <w:sz w:val="20"/>
          <w:szCs w:val="20"/>
        </w:rPr>
        <w:t xml:space="preserve"> – 23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Pr="004C260B">
        <w:rPr>
          <w:rFonts w:ascii="Arial" w:hAnsi="Arial" w:cs="Arial"/>
          <w:bCs/>
          <w:sz w:val="20"/>
          <w:szCs w:val="20"/>
        </w:rPr>
        <w:t>, 2024</w:t>
      </w:r>
    </w:p>
    <w:sectPr w:rsidR="004C260B" w:rsidRPr="00DD7499" w:rsidSect="00D975F5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CC338" w14:textId="77777777" w:rsidR="00B16438" w:rsidRDefault="00B16438">
      <w:r>
        <w:separator/>
      </w:r>
    </w:p>
  </w:endnote>
  <w:endnote w:type="continuationSeparator" w:id="0">
    <w:p w14:paraId="1024D40E" w14:textId="77777777" w:rsidR="00B16438" w:rsidRDefault="00B1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05767" w14:textId="77777777" w:rsidR="00B16438" w:rsidRDefault="00B16438">
      <w:r>
        <w:separator/>
      </w:r>
    </w:p>
  </w:footnote>
  <w:footnote w:type="continuationSeparator" w:id="0">
    <w:p w14:paraId="2FADFCE8" w14:textId="77777777" w:rsidR="00B16438" w:rsidRDefault="00B16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F67D9"/>
    <w:multiLevelType w:val="hybridMultilevel"/>
    <w:tmpl w:val="96C6C1C2"/>
    <w:lvl w:ilvl="0" w:tplc="0409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20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2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7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5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0"/>
  </w:num>
  <w:num w:numId="24" w16cid:durableId="639112823">
    <w:abstractNumId w:val="24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3"/>
  </w:num>
  <w:num w:numId="28" w16cid:durableId="719016014">
    <w:abstractNumId w:val="21"/>
  </w:num>
  <w:num w:numId="29" w16cid:durableId="44761965">
    <w:abstractNumId w:val="9"/>
  </w:num>
  <w:num w:numId="30" w16cid:durableId="750783015">
    <w:abstractNumId w:val="1"/>
  </w:num>
  <w:num w:numId="31" w16cid:durableId="2083456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328E"/>
    <w:rsid w:val="00013EE4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1FA7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2AE7"/>
    <w:rsid w:val="00065297"/>
    <w:rsid w:val="000655A6"/>
    <w:rsid w:val="00066C19"/>
    <w:rsid w:val="0006704A"/>
    <w:rsid w:val="0007035B"/>
    <w:rsid w:val="0007513F"/>
    <w:rsid w:val="00076DD0"/>
    <w:rsid w:val="00080512"/>
    <w:rsid w:val="00080638"/>
    <w:rsid w:val="0008297C"/>
    <w:rsid w:val="00084525"/>
    <w:rsid w:val="00084A90"/>
    <w:rsid w:val="00087378"/>
    <w:rsid w:val="00090307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74C"/>
    <w:rsid w:val="00104BC6"/>
    <w:rsid w:val="00105F72"/>
    <w:rsid w:val="00106392"/>
    <w:rsid w:val="00106A77"/>
    <w:rsid w:val="001104F4"/>
    <w:rsid w:val="00110A8D"/>
    <w:rsid w:val="00111EDD"/>
    <w:rsid w:val="00112B6A"/>
    <w:rsid w:val="001137B2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1CF"/>
    <w:rsid w:val="00144D61"/>
    <w:rsid w:val="00146540"/>
    <w:rsid w:val="00146BF3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4F42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5F25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35C0"/>
    <w:rsid w:val="00215B33"/>
    <w:rsid w:val="00215C07"/>
    <w:rsid w:val="0021744E"/>
    <w:rsid w:val="00217AE3"/>
    <w:rsid w:val="00217F77"/>
    <w:rsid w:val="0022083E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3BD5"/>
    <w:rsid w:val="00256995"/>
    <w:rsid w:val="00257410"/>
    <w:rsid w:val="002608DE"/>
    <w:rsid w:val="00261B7C"/>
    <w:rsid w:val="002627B4"/>
    <w:rsid w:val="00263708"/>
    <w:rsid w:val="002637C2"/>
    <w:rsid w:val="00263B2C"/>
    <w:rsid w:val="0026424E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3EB1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0A7D"/>
    <w:rsid w:val="002E3322"/>
    <w:rsid w:val="002E4D11"/>
    <w:rsid w:val="002E7499"/>
    <w:rsid w:val="002E75F6"/>
    <w:rsid w:val="002F0D6A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07EB9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5086E"/>
    <w:rsid w:val="00350950"/>
    <w:rsid w:val="003529D5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AE2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0A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4E4E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3643"/>
    <w:rsid w:val="00426737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4047"/>
    <w:rsid w:val="0046561C"/>
    <w:rsid w:val="004667DE"/>
    <w:rsid w:val="00470E29"/>
    <w:rsid w:val="004728B7"/>
    <w:rsid w:val="00472964"/>
    <w:rsid w:val="00472B98"/>
    <w:rsid w:val="00474C44"/>
    <w:rsid w:val="0047564A"/>
    <w:rsid w:val="004759D0"/>
    <w:rsid w:val="00475AC6"/>
    <w:rsid w:val="00476106"/>
    <w:rsid w:val="004768DA"/>
    <w:rsid w:val="00477B86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BA8"/>
    <w:rsid w:val="004A1B75"/>
    <w:rsid w:val="004A1C51"/>
    <w:rsid w:val="004A3D27"/>
    <w:rsid w:val="004A48FA"/>
    <w:rsid w:val="004A5DB3"/>
    <w:rsid w:val="004A6E04"/>
    <w:rsid w:val="004B2B1C"/>
    <w:rsid w:val="004B3447"/>
    <w:rsid w:val="004B4E61"/>
    <w:rsid w:val="004B5861"/>
    <w:rsid w:val="004B5C7F"/>
    <w:rsid w:val="004C0E4C"/>
    <w:rsid w:val="004C15E6"/>
    <w:rsid w:val="004C1601"/>
    <w:rsid w:val="004C1615"/>
    <w:rsid w:val="004C19E4"/>
    <w:rsid w:val="004C260B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199"/>
    <w:rsid w:val="004F0988"/>
    <w:rsid w:val="004F1ED6"/>
    <w:rsid w:val="004F233B"/>
    <w:rsid w:val="004F3340"/>
    <w:rsid w:val="004F38A3"/>
    <w:rsid w:val="004F3E3D"/>
    <w:rsid w:val="004F58D8"/>
    <w:rsid w:val="004F6765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714"/>
    <w:rsid w:val="00564780"/>
    <w:rsid w:val="00564D68"/>
    <w:rsid w:val="00565087"/>
    <w:rsid w:val="00567534"/>
    <w:rsid w:val="00570A32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3A1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399D"/>
    <w:rsid w:val="006758B1"/>
    <w:rsid w:val="00675D81"/>
    <w:rsid w:val="0068290F"/>
    <w:rsid w:val="006847C4"/>
    <w:rsid w:val="0068530E"/>
    <w:rsid w:val="00685A25"/>
    <w:rsid w:val="006867AA"/>
    <w:rsid w:val="00687D57"/>
    <w:rsid w:val="00694297"/>
    <w:rsid w:val="00694C21"/>
    <w:rsid w:val="006959D1"/>
    <w:rsid w:val="006963BE"/>
    <w:rsid w:val="006A0D7D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66B5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218"/>
    <w:rsid w:val="00703FDB"/>
    <w:rsid w:val="00704EDC"/>
    <w:rsid w:val="0070556D"/>
    <w:rsid w:val="0070610A"/>
    <w:rsid w:val="00706226"/>
    <w:rsid w:val="00707E4B"/>
    <w:rsid w:val="007101FA"/>
    <w:rsid w:val="00711CF9"/>
    <w:rsid w:val="007121B5"/>
    <w:rsid w:val="00712430"/>
    <w:rsid w:val="00713C44"/>
    <w:rsid w:val="0071674C"/>
    <w:rsid w:val="00717845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409"/>
    <w:rsid w:val="00740A8B"/>
    <w:rsid w:val="00740BC1"/>
    <w:rsid w:val="007429F6"/>
    <w:rsid w:val="00744E3A"/>
    <w:rsid w:val="00744E76"/>
    <w:rsid w:val="00746909"/>
    <w:rsid w:val="0074799B"/>
    <w:rsid w:val="0075000F"/>
    <w:rsid w:val="00750A04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77975"/>
    <w:rsid w:val="007809E5"/>
    <w:rsid w:val="00781F0F"/>
    <w:rsid w:val="007833DA"/>
    <w:rsid w:val="00787683"/>
    <w:rsid w:val="007921F5"/>
    <w:rsid w:val="00792E76"/>
    <w:rsid w:val="00793A3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2167"/>
    <w:rsid w:val="007C23F3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C69"/>
    <w:rsid w:val="00814EEB"/>
    <w:rsid w:val="008151F1"/>
    <w:rsid w:val="00815455"/>
    <w:rsid w:val="00816547"/>
    <w:rsid w:val="00816E79"/>
    <w:rsid w:val="008174FE"/>
    <w:rsid w:val="0081783A"/>
    <w:rsid w:val="00817A65"/>
    <w:rsid w:val="00820B25"/>
    <w:rsid w:val="00820E2A"/>
    <w:rsid w:val="0082350C"/>
    <w:rsid w:val="00823EC7"/>
    <w:rsid w:val="008246AB"/>
    <w:rsid w:val="0082493D"/>
    <w:rsid w:val="00825EDF"/>
    <w:rsid w:val="0083069F"/>
    <w:rsid w:val="00830747"/>
    <w:rsid w:val="00832AA2"/>
    <w:rsid w:val="0083481A"/>
    <w:rsid w:val="0083755B"/>
    <w:rsid w:val="00840DCA"/>
    <w:rsid w:val="008454C5"/>
    <w:rsid w:val="00847A1B"/>
    <w:rsid w:val="00850AF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175B"/>
    <w:rsid w:val="00893E1A"/>
    <w:rsid w:val="00894406"/>
    <w:rsid w:val="00895E23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2B01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243B"/>
    <w:rsid w:val="0091348E"/>
    <w:rsid w:val="009142F5"/>
    <w:rsid w:val="0091435F"/>
    <w:rsid w:val="00914B4B"/>
    <w:rsid w:val="009159F9"/>
    <w:rsid w:val="00916637"/>
    <w:rsid w:val="00917334"/>
    <w:rsid w:val="00917CCB"/>
    <w:rsid w:val="00921018"/>
    <w:rsid w:val="0092176B"/>
    <w:rsid w:val="00921E71"/>
    <w:rsid w:val="00924C53"/>
    <w:rsid w:val="00924D1C"/>
    <w:rsid w:val="00927F22"/>
    <w:rsid w:val="0093032A"/>
    <w:rsid w:val="00930919"/>
    <w:rsid w:val="0093165E"/>
    <w:rsid w:val="00931C3C"/>
    <w:rsid w:val="00932B83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497"/>
    <w:rsid w:val="00980D27"/>
    <w:rsid w:val="00981E36"/>
    <w:rsid w:val="009825B5"/>
    <w:rsid w:val="00982A84"/>
    <w:rsid w:val="0098313D"/>
    <w:rsid w:val="009832AA"/>
    <w:rsid w:val="00983928"/>
    <w:rsid w:val="0098396D"/>
    <w:rsid w:val="00987E57"/>
    <w:rsid w:val="00991963"/>
    <w:rsid w:val="0099295E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67D2"/>
    <w:rsid w:val="009E7DA3"/>
    <w:rsid w:val="009F28AE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A10"/>
    <w:rsid w:val="00A07BCF"/>
    <w:rsid w:val="00A102F2"/>
    <w:rsid w:val="00A10E8A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2F29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A6D"/>
    <w:rsid w:val="00B00BD4"/>
    <w:rsid w:val="00B027F9"/>
    <w:rsid w:val="00B037D2"/>
    <w:rsid w:val="00B03E8E"/>
    <w:rsid w:val="00B03FF1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438"/>
    <w:rsid w:val="00B16E7C"/>
    <w:rsid w:val="00B220C1"/>
    <w:rsid w:val="00B224FC"/>
    <w:rsid w:val="00B2448D"/>
    <w:rsid w:val="00B24B83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8F7"/>
    <w:rsid w:val="00B44F81"/>
    <w:rsid w:val="00B45F97"/>
    <w:rsid w:val="00B4668E"/>
    <w:rsid w:val="00B4719C"/>
    <w:rsid w:val="00B50264"/>
    <w:rsid w:val="00B504F7"/>
    <w:rsid w:val="00B5178A"/>
    <w:rsid w:val="00B51CDC"/>
    <w:rsid w:val="00B5302C"/>
    <w:rsid w:val="00B55583"/>
    <w:rsid w:val="00B56C27"/>
    <w:rsid w:val="00B5759C"/>
    <w:rsid w:val="00B6070A"/>
    <w:rsid w:val="00B646A5"/>
    <w:rsid w:val="00B65A49"/>
    <w:rsid w:val="00B668E4"/>
    <w:rsid w:val="00B711EB"/>
    <w:rsid w:val="00B72AF3"/>
    <w:rsid w:val="00B75DED"/>
    <w:rsid w:val="00B76FBB"/>
    <w:rsid w:val="00B804A1"/>
    <w:rsid w:val="00B86323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BF7B76"/>
    <w:rsid w:val="00C00555"/>
    <w:rsid w:val="00C00E04"/>
    <w:rsid w:val="00C010CD"/>
    <w:rsid w:val="00C0203B"/>
    <w:rsid w:val="00C0292C"/>
    <w:rsid w:val="00C02C9B"/>
    <w:rsid w:val="00C03BF3"/>
    <w:rsid w:val="00C04A93"/>
    <w:rsid w:val="00C059F9"/>
    <w:rsid w:val="00C05CE0"/>
    <w:rsid w:val="00C0629C"/>
    <w:rsid w:val="00C0777A"/>
    <w:rsid w:val="00C079CE"/>
    <w:rsid w:val="00C12D2F"/>
    <w:rsid w:val="00C1496A"/>
    <w:rsid w:val="00C16008"/>
    <w:rsid w:val="00C1711F"/>
    <w:rsid w:val="00C17557"/>
    <w:rsid w:val="00C17BF7"/>
    <w:rsid w:val="00C17C12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BA3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6A5B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D7FD3"/>
    <w:rsid w:val="00CE0B91"/>
    <w:rsid w:val="00CE1B41"/>
    <w:rsid w:val="00CE1D47"/>
    <w:rsid w:val="00CE2F48"/>
    <w:rsid w:val="00CE4DF9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4B25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C"/>
    <w:rsid w:val="00D309CC"/>
    <w:rsid w:val="00D32320"/>
    <w:rsid w:val="00D324F9"/>
    <w:rsid w:val="00D33957"/>
    <w:rsid w:val="00D34FA9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134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28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3E60"/>
    <w:rsid w:val="00DC4DA2"/>
    <w:rsid w:val="00DD07AA"/>
    <w:rsid w:val="00DD48CA"/>
    <w:rsid w:val="00DD4C17"/>
    <w:rsid w:val="00DD4D52"/>
    <w:rsid w:val="00DD5B2B"/>
    <w:rsid w:val="00DD5D61"/>
    <w:rsid w:val="00DD6E9C"/>
    <w:rsid w:val="00DD7499"/>
    <w:rsid w:val="00DD7FAC"/>
    <w:rsid w:val="00DE0297"/>
    <w:rsid w:val="00DE0507"/>
    <w:rsid w:val="00DE098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4C7D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0B5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ABE"/>
    <w:rsid w:val="00E73578"/>
    <w:rsid w:val="00E74333"/>
    <w:rsid w:val="00E74B5D"/>
    <w:rsid w:val="00E75946"/>
    <w:rsid w:val="00E7742B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49AF"/>
    <w:rsid w:val="00F15570"/>
    <w:rsid w:val="00F169CF"/>
    <w:rsid w:val="00F200BB"/>
    <w:rsid w:val="00F21311"/>
    <w:rsid w:val="00F229FC"/>
    <w:rsid w:val="00F22EC7"/>
    <w:rsid w:val="00F26D2F"/>
    <w:rsid w:val="00F32234"/>
    <w:rsid w:val="00F32507"/>
    <w:rsid w:val="00F325C8"/>
    <w:rsid w:val="00F32A57"/>
    <w:rsid w:val="00F3347C"/>
    <w:rsid w:val="00F34849"/>
    <w:rsid w:val="00F35A8C"/>
    <w:rsid w:val="00F35E69"/>
    <w:rsid w:val="00F4310F"/>
    <w:rsid w:val="00F44D40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EAC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8F3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5EB7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075F"/>
    <w:rsid w:val="00FE14B1"/>
    <w:rsid w:val="00FE4C2D"/>
    <w:rsid w:val="00FE7684"/>
    <w:rsid w:val="00FF12D1"/>
    <w:rsid w:val="00FF135C"/>
    <w:rsid w:val="00FF187D"/>
    <w:rsid w:val="00FF2138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9450F96-22CC-7243-8E52-F657C675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2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7527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2024-10-04T18:11:00Z</dcterms:created>
  <dcterms:modified xsi:type="dcterms:W3CDTF">2024-10-06T23:35:00Z</dcterms:modified>
  <cp:category/>
</cp:coreProperties>
</file>